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438" w:type="dxa"/>
        <w:tblInd w:w="-1310" w:type="dxa"/>
        <w:tblLook w:val="04A0" w:firstRow="1" w:lastRow="0" w:firstColumn="1" w:lastColumn="0" w:noHBand="0" w:noVBand="1"/>
      </w:tblPr>
      <w:tblGrid>
        <w:gridCol w:w="1763"/>
        <w:gridCol w:w="9675"/>
      </w:tblGrid>
      <w:tr w:rsidR="009E5FBE" w:rsidTr="001212C4">
        <w:trPr>
          <w:trHeight w:val="420"/>
        </w:trPr>
        <w:tc>
          <w:tcPr>
            <w:tcW w:w="1276" w:type="dxa"/>
          </w:tcPr>
          <w:p w:rsidR="009E5FBE" w:rsidRDefault="009E5FBE" w:rsidP="001212C4">
            <w:pPr>
              <w:jc w:val="both"/>
            </w:pPr>
            <w:r w:rsidRPr="006874D6">
              <w:t>ÒRGAN</w:t>
            </w:r>
          </w:p>
        </w:tc>
        <w:tc>
          <w:tcPr>
            <w:tcW w:w="10162" w:type="dxa"/>
          </w:tcPr>
          <w:p w:rsidR="009E5FBE" w:rsidRDefault="009E5FBE" w:rsidP="001212C4">
            <w:pPr>
              <w:jc w:val="both"/>
            </w:pPr>
            <w:r w:rsidRPr="001629D7">
              <w:t>Audiencia Provincial</w:t>
            </w:r>
            <w:r>
              <w:t xml:space="preserve"> Barcelona , Juzgado de Primera Instancia 16, Sección dieciocho</w:t>
            </w:r>
          </w:p>
        </w:tc>
      </w:tr>
      <w:tr w:rsidR="009E5FBE" w:rsidTr="001212C4">
        <w:trPr>
          <w:trHeight w:val="420"/>
        </w:trPr>
        <w:tc>
          <w:tcPr>
            <w:tcW w:w="1276" w:type="dxa"/>
          </w:tcPr>
          <w:p w:rsidR="009E5FBE" w:rsidRDefault="009E5FBE" w:rsidP="001212C4">
            <w:pPr>
              <w:jc w:val="both"/>
            </w:pPr>
            <w:r w:rsidRPr="006874D6">
              <w:t>Nº SENTENCIA</w:t>
            </w:r>
          </w:p>
        </w:tc>
        <w:tc>
          <w:tcPr>
            <w:tcW w:w="10162" w:type="dxa"/>
          </w:tcPr>
          <w:p w:rsidR="009E5FBE" w:rsidRDefault="009E5FBE" w:rsidP="001212C4">
            <w:pPr>
              <w:jc w:val="both"/>
            </w:pPr>
            <w:r w:rsidRPr="001629D7">
              <w:t>81/2010</w:t>
            </w:r>
          </w:p>
        </w:tc>
      </w:tr>
      <w:tr w:rsidR="009E5FBE" w:rsidTr="001212C4">
        <w:trPr>
          <w:trHeight w:val="438"/>
        </w:trPr>
        <w:tc>
          <w:tcPr>
            <w:tcW w:w="1276" w:type="dxa"/>
          </w:tcPr>
          <w:p w:rsidR="009E5FBE" w:rsidRDefault="009E5FBE" w:rsidP="001212C4">
            <w:pPr>
              <w:tabs>
                <w:tab w:val="left" w:pos="795"/>
              </w:tabs>
              <w:jc w:val="both"/>
            </w:pPr>
            <w:r w:rsidRPr="006874D6">
              <w:t>MAGISTRAT</w:t>
            </w:r>
          </w:p>
        </w:tc>
        <w:tc>
          <w:tcPr>
            <w:tcW w:w="10162" w:type="dxa"/>
          </w:tcPr>
          <w:p w:rsidR="009E5FBE" w:rsidRDefault="009E5FBE" w:rsidP="001212C4">
            <w:pPr>
              <w:jc w:val="both"/>
            </w:pPr>
            <w:r w:rsidRPr="001629D7">
              <w:t>AURORA FIGUERAS IZQUIERDO</w:t>
            </w:r>
          </w:p>
        </w:tc>
      </w:tr>
      <w:tr w:rsidR="009E5FBE" w:rsidTr="001212C4">
        <w:trPr>
          <w:trHeight w:val="420"/>
        </w:trPr>
        <w:tc>
          <w:tcPr>
            <w:tcW w:w="1276" w:type="dxa"/>
          </w:tcPr>
          <w:p w:rsidR="009E5FBE" w:rsidRDefault="009E5FBE" w:rsidP="001212C4">
            <w:pPr>
              <w:jc w:val="both"/>
            </w:pPr>
            <w:r w:rsidRPr="006874D6">
              <w:t>DATA</w:t>
            </w:r>
          </w:p>
        </w:tc>
        <w:tc>
          <w:tcPr>
            <w:tcW w:w="10162" w:type="dxa"/>
          </w:tcPr>
          <w:p w:rsidR="009E5FBE" w:rsidRDefault="009E5FBE" w:rsidP="001212C4">
            <w:pPr>
              <w:tabs>
                <w:tab w:val="left" w:pos="1532"/>
              </w:tabs>
              <w:jc w:val="both"/>
            </w:pPr>
            <w:r w:rsidRPr="001629D7">
              <w:t>10/02/2010</w:t>
            </w:r>
          </w:p>
        </w:tc>
      </w:tr>
      <w:tr w:rsidR="009E5FBE" w:rsidTr="001212C4">
        <w:trPr>
          <w:trHeight w:val="420"/>
        </w:trPr>
        <w:tc>
          <w:tcPr>
            <w:tcW w:w="1276" w:type="dxa"/>
          </w:tcPr>
          <w:p w:rsidR="009E5FBE" w:rsidRDefault="009E5FBE" w:rsidP="001212C4">
            <w:pPr>
              <w:jc w:val="both"/>
            </w:pPr>
            <w:r w:rsidRPr="006874D6">
              <w:t>ENLLAÇ</w:t>
            </w:r>
          </w:p>
        </w:tc>
        <w:tc>
          <w:tcPr>
            <w:tcW w:w="10162" w:type="dxa"/>
          </w:tcPr>
          <w:p w:rsidR="009E5FBE" w:rsidRDefault="00AD1D10" w:rsidP="001212C4">
            <w:pPr>
              <w:jc w:val="both"/>
            </w:pPr>
            <w:hyperlink r:id="rId6" w:history="1">
              <w:r w:rsidRPr="00AD1D10">
                <w:rPr>
                  <w:color w:val="0000FF"/>
                  <w:u w:val="single"/>
                </w:rPr>
                <w:t>SAP B 1217/2010 - ECLI:ES:APB:2010:1217 - Poder Judicial</w:t>
              </w:r>
            </w:hyperlink>
            <w:bookmarkStart w:id="0" w:name="_GoBack"/>
            <w:bookmarkEnd w:id="0"/>
          </w:p>
        </w:tc>
      </w:tr>
      <w:tr w:rsidR="009E5FBE" w:rsidTr="001212C4">
        <w:trPr>
          <w:trHeight w:val="420"/>
        </w:trPr>
        <w:tc>
          <w:tcPr>
            <w:tcW w:w="1276" w:type="dxa"/>
          </w:tcPr>
          <w:p w:rsidR="009E5FBE" w:rsidRDefault="009E5FBE" w:rsidP="001212C4">
            <w:pPr>
              <w:jc w:val="both"/>
            </w:pPr>
            <w:r w:rsidRPr="006874D6">
              <w:t>CONCEPTES CLAU</w:t>
            </w:r>
          </w:p>
        </w:tc>
        <w:tc>
          <w:tcPr>
            <w:tcW w:w="10162" w:type="dxa"/>
          </w:tcPr>
          <w:p w:rsidR="009E5FBE" w:rsidRDefault="009E5FBE" w:rsidP="001212C4">
            <w:pPr>
              <w:jc w:val="both"/>
            </w:pPr>
            <w:r>
              <w:t>Atribución uso vivienda familiar</w:t>
            </w:r>
          </w:p>
        </w:tc>
      </w:tr>
      <w:tr w:rsidR="009E5FBE" w:rsidTr="001212C4">
        <w:trPr>
          <w:trHeight w:val="420"/>
        </w:trPr>
        <w:tc>
          <w:tcPr>
            <w:tcW w:w="1276" w:type="dxa"/>
          </w:tcPr>
          <w:p w:rsidR="009E5FBE" w:rsidRDefault="009E5FBE" w:rsidP="001212C4">
            <w:pPr>
              <w:jc w:val="both"/>
            </w:pPr>
            <w:r w:rsidRPr="006874D6">
              <w:t>RESUM</w:t>
            </w:r>
          </w:p>
        </w:tc>
        <w:tc>
          <w:tcPr>
            <w:tcW w:w="10162" w:type="dxa"/>
          </w:tcPr>
          <w:p w:rsidR="009E5FBE" w:rsidRDefault="009E5FBE" w:rsidP="001212C4">
            <w:pPr>
              <w:jc w:val="both"/>
            </w:pPr>
            <w:r>
              <w:t xml:space="preserve">Antecedentes: </w:t>
            </w:r>
            <w:r w:rsidRPr="0086689E">
              <w:rPr>
                <w:u w:val="single"/>
              </w:rPr>
              <w:t>Sonia representando Sra. Guadalupe parte demandante.</w:t>
            </w:r>
            <w:r>
              <w:t xml:space="preserve"> Se interpone el recurso de apelación por Sra. Guadalupe y el Sr. José Ramón presenta impugnación  de la sentencia.10/07/2008</w:t>
            </w:r>
          </w:p>
          <w:p w:rsidR="009E5FBE" w:rsidRDefault="009E5FBE" w:rsidP="001212C4">
            <w:pPr>
              <w:jc w:val="both"/>
            </w:pPr>
            <w:r>
              <w:t xml:space="preserve">Fundamentos: La sala no se pronuncia sobre la impugnación de la sentencia en cuanto a la pensión de alimento de alimentos del hijo dado la </w:t>
            </w:r>
            <w:r w:rsidRPr="00F14AE6">
              <w:rPr>
                <w:highlight w:val="yellow"/>
              </w:rPr>
              <w:t>carencia de legitimación de ambos progenitores</w:t>
            </w:r>
            <w:r>
              <w:t xml:space="preserve">, sin perjuicio de que </w:t>
            </w:r>
            <w:proofErr w:type="spellStart"/>
            <w:r>
              <w:t>Marçal</w:t>
            </w:r>
            <w:proofErr w:type="spellEnd"/>
            <w:r>
              <w:t xml:space="preserve"> pueda instar reclamación de la pensión.</w:t>
            </w:r>
          </w:p>
          <w:p w:rsidR="009E5FBE" w:rsidRPr="0086689E" w:rsidRDefault="009E5FBE" w:rsidP="001212C4">
            <w:pPr>
              <w:jc w:val="both"/>
            </w:pPr>
            <w:r>
              <w:t xml:space="preserve">Respecto a la atribución del uso de la vivienda familiar, después de observarse los ingresos de los dos progenitores, la Sra. Guadalupe es de los dos la más necesitada añadiendo la circunstancia que el hijo ha </w:t>
            </w:r>
            <w:r w:rsidRPr="00F14AE6">
              <w:rPr>
                <w:highlight w:val="yellow"/>
              </w:rPr>
              <w:t>vuelto a convivir con la madre</w:t>
            </w:r>
            <w:r>
              <w:t>. Por tanto la sala atribuye la vivienda a la Sra. Guadalupe</w:t>
            </w:r>
          </w:p>
        </w:tc>
      </w:tr>
      <w:tr w:rsidR="009E5FBE" w:rsidTr="001212C4">
        <w:trPr>
          <w:trHeight w:val="420"/>
        </w:trPr>
        <w:tc>
          <w:tcPr>
            <w:tcW w:w="1276" w:type="dxa"/>
          </w:tcPr>
          <w:p w:rsidR="009E5FBE" w:rsidRDefault="009E5FBE" w:rsidP="001212C4">
            <w:pPr>
              <w:jc w:val="both"/>
            </w:pPr>
            <w:r w:rsidRPr="006874D6">
              <w:t>RESULTAT / FALLO</w:t>
            </w:r>
          </w:p>
        </w:tc>
        <w:tc>
          <w:tcPr>
            <w:tcW w:w="10162" w:type="dxa"/>
          </w:tcPr>
          <w:p w:rsidR="009E5FBE" w:rsidRDefault="009E5FBE" w:rsidP="001212C4">
            <w:pPr>
              <w:jc w:val="both"/>
            </w:pPr>
            <w:r>
              <w:t>Se estima parcialmente el recurso interpuesto por la Sra. Guadalupe y se desestima la impugnación del Sr. José Ramón contra sentencia fecha 10/07/2008.</w:t>
            </w:r>
          </w:p>
          <w:p w:rsidR="009E5FBE" w:rsidRDefault="009E5FBE" w:rsidP="001212C4">
            <w:pPr>
              <w:jc w:val="both"/>
            </w:pPr>
            <w:r>
              <w:t xml:space="preserve">Se revoca parcialmente y se atribuye la vivienda familiar a la Sra. Guadalupe sin proceder a pronunciarse respecto a la pensión de alimentos del hijo </w:t>
            </w:r>
            <w:proofErr w:type="spellStart"/>
            <w:r>
              <w:t>Marçal</w:t>
            </w:r>
            <w:proofErr w:type="spellEnd"/>
            <w:r>
              <w:t>, los demás pronunciamientos se mantienen.</w:t>
            </w:r>
          </w:p>
        </w:tc>
      </w:tr>
      <w:tr w:rsidR="009E5FBE" w:rsidTr="001212C4">
        <w:trPr>
          <w:trHeight w:val="457"/>
        </w:trPr>
        <w:tc>
          <w:tcPr>
            <w:tcW w:w="1276" w:type="dxa"/>
          </w:tcPr>
          <w:p w:rsidR="009E5FBE" w:rsidRDefault="009E5FBE" w:rsidP="001212C4">
            <w:pPr>
              <w:jc w:val="both"/>
            </w:pPr>
            <w:r w:rsidRPr="006874D6">
              <w:t>JURISPRUDENCIA</w:t>
            </w:r>
          </w:p>
        </w:tc>
        <w:tc>
          <w:tcPr>
            <w:tcW w:w="10162" w:type="dxa"/>
          </w:tcPr>
          <w:p w:rsidR="009E5FBE" w:rsidRDefault="009E5FBE" w:rsidP="001212C4">
            <w:pPr>
              <w:jc w:val="both"/>
            </w:pPr>
            <w:r>
              <w:t>TSJC 13/2007 de mayo: hijos mayores de edad + derecho a ser alimentados si no tienen ingresos propios.</w:t>
            </w:r>
          </w:p>
        </w:tc>
      </w:tr>
    </w:tbl>
    <w:p w:rsidR="009E5FBE" w:rsidRDefault="009E5FBE" w:rsidP="009E5FBE">
      <w:pPr>
        <w:ind w:left="1416" w:hanging="1416"/>
      </w:pPr>
    </w:p>
    <w:p w:rsidR="009E5FBE" w:rsidRDefault="009E5FBE" w:rsidP="009E5FBE">
      <w:pPr>
        <w:ind w:left="1416" w:hanging="1416"/>
      </w:pPr>
    </w:p>
    <w:p w:rsidR="009E5FBE" w:rsidRDefault="009E5FBE" w:rsidP="009E5FBE">
      <w:pPr>
        <w:ind w:left="1416" w:hanging="1416"/>
      </w:pPr>
      <w:r>
        <w:t>SOLICITA</w:t>
      </w:r>
      <w:proofErr w:type="gramStart"/>
      <w:r>
        <w:t xml:space="preserve">:  </w:t>
      </w:r>
      <w:r w:rsidRPr="00CE2114">
        <w:rPr>
          <w:highlight w:val="green"/>
        </w:rPr>
        <w:t>CONCEDE</w:t>
      </w:r>
      <w:proofErr w:type="gramEnd"/>
      <w:r>
        <w:t xml:space="preserve"> </w:t>
      </w:r>
      <w:r w:rsidRPr="00CE2114">
        <w:rPr>
          <w:highlight w:val="green"/>
        </w:rPr>
        <w:t>PARCIALMENTE</w:t>
      </w:r>
    </w:p>
    <w:p w:rsidR="009E5FBE" w:rsidRDefault="009E5FBE" w:rsidP="009E5FBE">
      <w:pPr>
        <w:pStyle w:val="Prrafodelista"/>
        <w:numPr>
          <w:ilvl w:val="0"/>
          <w:numId w:val="1"/>
        </w:numPr>
      </w:pPr>
      <w:r>
        <w:t xml:space="preserve">Uso vivienda familiar: </w:t>
      </w:r>
      <w:r w:rsidRPr="00CE2114">
        <w:rPr>
          <w:highlight w:val="green"/>
        </w:rPr>
        <w:t>SÍ</w:t>
      </w:r>
    </w:p>
    <w:p w:rsidR="009E5FBE" w:rsidRDefault="009E5FBE" w:rsidP="009E5FBE">
      <w:pPr>
        <w:pStyle w:val="Prrafodelista"/>
        <w:numPr>
          <w:ilvl w:val="0"/>
          <w:numId w:val="1"/>
        </w:numPr>
      </w:pPr>
      <w:r>
        <w:t xml:space="preserve">Pensión de alimentos: </w:t>
      </w:r>
      <w:r w:rsidRPr="00CE2114">
        <w:rPr>
          <w:highlight w:val="red"/>
        </w:rPr>
        <w:t>NO</w:t>
      </w:r>
    </w:p>
    <w:p w:rsidR="009E5FBE" w:rsidRDefault="009E5FBE" w:rsidP="009E5FBE">
      <w:pPr>
        <w:ind w:left="1416" w:hanging="1416"/>
      </w:pPr>
    </w:p>
    <w:p w:rsidR="007E65F0" w:rsidRDefault="007E65F0"/>
    <w:sectPr w:rsidR="007E65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5F0"/>
    <w:multiLevelType w:val="hybridMultilevel"/>
    <w:tmpl w:val="EE467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ED"/>
    <w:rsid w:val="007E65F0"/>
    <w:rsid w:val="009E5FBE"/>
    <w:rsid w:val="00AD1D10"/>
    <w:rsid w:val="00C85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E5FBE"/>
    <w:rPr>
      <w:color w:val="0000FF" w:themeColor="hyperlink"/>
      <w:u w:val="single"/>
    </w:rPr>
  </w:style>
  <w:style w:type="paragraph" w:styleId="Prrafodelista">
    <w:name w:val="List Paragraph"/>
    <w:basedOn w:val="Normal"/>
    <w:uiPriority w:val="34"/>
    <w:qFormat/>
    <w:rsid w:val="009E5FBE"/>
    <w:pPr>
      <w:ind w:left="720"/>
      <w:contextualSpacing/>
    </w:pPr>
  </w:style>
  <w:style w:type="character" w:styleId="Hipervnculovisitado">
    <w:name w:val="FollowedHyperlink"/>
    <w:basedOn w:val="Fuentedeprrafopredeter"/>
    <w:uiPriority w:val="99"/>
    <w:semiHidden/>
    <w:unhideWhenUsed/>
    <w:rsid w:val="00AD1D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E5FBE"/>
    <w:rPr>
      <w:color w:val="0000FF" w:themeColor="hyperlink"/>
      <w:u w:val="single"/>
    </w:rPr>
  </w:style>
  <w:style w:type="paragraph" w:styleId="Prrafodelista">
    <w:name w:val="List Paragraph"/>
    <w:basedOn w:val="Normal"/>
    <w:uiPriority w:val="34"/>
    <w:qFormat/>
    <w:rsid w:val="009E5FBE"/>
    <w:pPr>
      <w:ind w:left="720"/>
      <w:contextualSpacing/>
    </w:pPr>
  </w:style>
  <w:style w:type="character" w:styleId="Hipervnculovisitado">
    <w:name w:val="FollowedHyperlink"/>
    <w:basedOn w:val="Fuentedeprrafopredeter"/>
    <w:uiPriority w:val="99"/>
    <w:semiHidden/>
    <w:unhideWhenUsed/>
    <w:rsid w:val="00AD1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erjudicial.es/search/AN/openDocument/d902e9e2155f7860/201005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1443</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alvarez</dc:creator>
  <cp:keywords/>
  <dc:description/>
  <cp:lastModifiedBy>sonia alvarez</cp:lastModifiedBy>
  <cp:revision>3</cp:revision>
  <dcterms:created xsi:type="dcterms:W3CDTF">2022-04-28T16:35:00Z</dcterms:created>
  <dcterms:modified xsi:type="dcterms:W3CDTF">2022-04-28T16:37:00Z</dcterms:modified>
</cp:coreProperties>
</file>